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北京市建设监理协会2024年课题研究计划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监理制度改革热点问题研究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中监协委托住建部课题，拟对监理制度改革涉及的方向性问题进行研究，并提出政策建议。</w:t>
      </w:r>
    </w:p>
    <w:p>
      <w:pPr>
        <w:spacing w:line="500" w:lineRule="exact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拟定5-6家会员单位参加，每家赞助费暂定2万元。要求参与专家熟悉法律法规和政策文件。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中监协团标－《建筑材料、构配件和设备进场质量控制标准》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拟定5-6家会员单位参加，每家赞助费暂定2万元。原我协会团标参与单位优先。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公开出版物《住宅工程质量品质提升技术标准应用指南》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以地标《住宅工程质量品质提升技术标准》研究过程资料为主，编写一本涉及施工工艺和验收标准的操作手册。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拟定5-6家会员单位参加，每家赞助费暂定2万元。原相关课题参与单位优先。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协会课题“预制构件生产质量驻厂监造工作标准研究”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调研现行构件生产和驻厂监造实际情况，论证驻厂监造实际发挥作用的解决方案，研究制定住厂监造工作标准。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拟定6-8家会员单位参加，每家赞助费暂定2万元。为上年度课题转今年再确认。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公开出版物《建筑工程消防验收常见问题图解》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根据协会编制《建筑工程消防施工质量验收规范》的成果，结合项目实际工作需求，研究编制消防产品应用手册。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拟定5-6家会员单位参加，每家赞助费暂定2万元。</w:t>
      </w:r>
    </w:p>
    <w:p>
      <w:pPr>
        <w:pStyle w:val="4"/>
        <w:numPr>
          <w:ilvl w:val="0"/>
          <w:numId w:val="1"/>
        </w:numPr>
        <w:spacing w:beforeLines="5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公开出版物或团标《危险性较大分部分项工程监理履职指南》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在前期研究成果的基础上，研究制定危险性较大分部分项工程巡视、验收监理工作内容、程序、方法和标准。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  <w:sectPr>
          <w:pgSz w:w="11906" w:h="16838"/>
          <w:pgMar w:top="1588" w:right="1474" w:bottom="147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拟定8-10家会员单位参加，每家赞助费暂定2万元。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E69EE"/>
    <w:multiLevelType w:val="multilevel"/>
    <w:tmpl w:val="66FE69EE"/>
    <w:lvl w:ilvl="0" w:tentative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050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2024-05-20T05:56:04Z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AC7658D33A9349548C046F983078DB26_12</vt:lpwstr>
  </property>
</Properties>
</file>